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James Suhk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ITG, Inc./DE/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ITG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2400 E COMMERCIAL BLVD STE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8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FORT</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FL</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33308</w:t>
            </w:r>
          </w:p>
        </w:tc>
        <w:tc>
          <w:tcPr>
            <w:tcW w:w="0" w:type="dxa"/>
            <w:vAlign w:val="bottom"/>
          </w:tcPr>
          <w:p>
            <w:pPr>
              <w:spacing w:after="0"/>
              <w:rPr>
                <w:sz w:val="1"/>
                <w:szCs w:val="1"/>
                <w:color w:val="auto"/>
              </w:rPr>
            </w:pPr>
          </w:p>
        </w:tc>
      </w:tr>
      <w:tr>
        <w:trPr>
          <w:trHeight w:val="254"/>
        </w:trPr>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LAUDERDALE</w:t>
            </w:r>
          </w:p>
        </w:tc>
        <w:tc>
          <w:tcPr>
            <w:tcW w:w="5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Christopher H. Mecray,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163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635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as attorney-in-fact for</w:t>
      </w:r>
      <w:r>
        <w:rPr>
          <w:sz w:val="20"/>
          <w:szCs w:val="20"/>
          <w:color w:val="auto"/>
        </w:rPr>
        <w:tab/>
      </w:r>
      <w:r>
        <w:rPr>
          <w:rFonts w:ascii="Times New Roman" w:cs="Times New Roman" w:eastAsia="Times New Roman" w:hAnsi="Times New Roman"/>
          <w:sz w:val="18"/>
          <w:szCs w:val="18"/>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James S. 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502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502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13 &amp; 16 REPORTING OBLIGATIONS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July 1, 2026</w:t>
      </w:r>
    </w:p>
    <w:p>
      <w:pPr>
        <w:spacing w:after="0" w:line="220" w:lineRule="exact"/>
        <w:rPr>
          <w:sz w:val="20"/>
          <w:szCs w:val="20"/>
          <w:color w:val="auto"/>
        </w:rPr>
      </w:pPr>
    </w:p>
    <w:p>
      <w:pPr>
        <w:jc w:val="both"/>
        <w:ind w:firstLine="85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Christopher H. Mecray and Danielle Elias, signing singly, as the undersigned’s true and lawful attorney-in-fact and agent, with full power and authority, including substitution and revocation, as hereinafter described on behalf of and in the name, place and stead of the undersigned to:</w:t>
      </w:r>
    </w:p>
    <w:p>
      <w:pPr>
        <w:spacing w:after="0" w:line="200" w:lineRule="exact"/>
        <w:rPr>
          <w:sz w:val="20"/>
          <w:szCs w:val="20"/>
          <w:color w:val="auto"/>
        </w:rPr>
      </w:pPr>
    </w:p>
    <w:p>
      <w:pPr>
        <w:jc w:val="both"/>
        <w:ind w:left="720" w:hanging="341"/>
        <w:spacing w:after="0" w:line="250"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ITG, Inc., a Delaware corporation, or any successor thereto (the “Company”), with the U.S. Securities and Exchange Commission, any national securities exchanges and the Company, as considered necessary or advisable under Section 16(a) of the Exchange Act and the rules and regulations promulgated thereunder, as amended from time to time under the Exchange Act as well as notices on Form 144 and amendments thereto, filed pursuant to Rule 144 promulgated under the Securities Act of 1933, as amended (the “Securities Act”);</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8"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Times New Roman" w:cs="Times New Roman" w:eastAsia="Times New Roman" w:hAnsi="Times New Roman"/>
          <w:sz w:val="22"/>
          <w:szCs w:val="22"/>
          <w:color w:val="4D4D4F"/>
        </w:rPr>
      </w:pPr>
    </w:p>
    <w:p>
      <w:pPr>
        <w:ind w:left="720" w:hanging="341"/>
        <w:spacing w:after="0" w:line="252" w:lineRule="auto"/>
        <w:tabs>
          <w:tab w:leader="none" w:pos="720" w:val="left"/>
        </w:tabs>
        <w:numPr>
          <w:ilvl w:val="0"/>
          <w:numId w:val="4"/>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perform any and all other acts which in the discretion of such attorney-in-fact is necessary or desirable for and on behalf of the undersigned in connection with the foregoing.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65" w:lineRule="exact"/>
        <w:rPr>
          <w:sz w:val="20"/>
          <w:szCs w:val="20"/>
          <w:color w:val="auto"/>
        </w:rPr>
      </w:pPr>
    </w:p>
    <w:p>
      <w:pPr>
        <w:ind w:left="720" w:hanging="341"/>
        <w:spacing w:after="0" w:line="248"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authorizes, but does not require, such attorney-in-fact to act in his or her discretion on information provided to such attorney-in-fact without independent verification of such information;</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7"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48"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requirements of the Exchange Act, or the Securities Act, as applicable (ii) any liability of the undersigned for any failure to comply with such requirements, (iii) any obligation or liability of the undersigned for profit disgorgement under Section 16(b) of the Exchange Act, or (iv) any liability for failure to quality for the safe harbor Rule 144; and</w:t>
      </w:r>
    </w:p>
    <w:p>
      <w:pPr>
        <w:spacing w:after="0" w:line="1" w:lineRule="exact"/>
        <w:rPr>
          <w:rFonts w:ascii="Times New Roman" w:cs="Times New Roman" w:eastAsia="Times New Roman" w:hAnsi="Times New Roman"/>
          <w:sz w:val="22"/>
          <w:szCs w:val="22"/>
          <w:color w:val="4D4D4F"/>
        </w:rPr>
      </w:pPr>
    </w:p>
    <w:p>
      <w:pPr>
        <w:jc w:val="both"/>
        <w:ind w:left="720" w:hanging="341"/>
        <w:spacing w:after="0" w:line="251" w:lineRule="auto"/>
        <w:tabs>
          <w:tab w:leader="none" w:pos="720" w:val="left"/>
        </w:tabs>
        <w:numPr>
          <w:ilvl w:val="0"/>
          <w:numId w:val="5"/>
        </w:numPr>
        <w:rPr>
          <w:rFonts w:ascii="Times New Roman" w:cs="Times New Roman" w:eastAsia="Times New Roman" w:hAnsi="Times New Roman"/>
          <w:sz w:val="22"/>
          <w:szCs w:val="22"/>
          <w:color w:val="4D4D4F"/>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or Securities Act, as applicable, including without limitation the reporting requirements under Section 13 and/or Section 16 of the Exchange Act.</w:t>
      </w:r>
    </w:p>
    <w:p>
      <w:pPr>
        <w:spacing w:after="0" w:line="180" w:lineRule="exact"/>
        <w:rPr>
          <w:sz w:val="20"/>
          <w:szCs w:val="20"/>
          <w:color w:val="auto"/>
        </w:rPr>
      </w:pPr>
    </w:p>
    <w:p>
      <w:pPr>
        <w:jc w:val="both"/>
        <w:ind w:firstLine="850"/>
        <w:spacing w:after="0" w:line="261"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85" w:lineRule="exact"/>
        <w:rPr>
          <w:sz w:val="20"/>
          <w:szCs w:val="20"/>
          <w:color w:val="auto"/>
        </w:rPr>
      </w:pPr>
    </w:p>
    <w:p>
      <w:pPr>
        <w:jc w:val="both"/>
        <w:ind w:firstLine="85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revoked by the undersigned in a signed writing delivered to such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1686560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40"/>
        <w:spacing w:after="0"/>
        <w:tabs>
          <w:tab w:leader="none" w:pos="5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James S. Lee</w:t>
      </w:r>
    </w:p>
    <w:p>
      <w:pPr>
        <w:spacing w:after="0" w:line="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Name: James 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-145415</wp:posOffset>
            </wp:positionV>
            <wp:extent cx="35350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35045" cy="9525"/>
                    </a:xfrm>
                    <a:prstGeom prst="rect">
                      <a:avLst/>
                    </a:prstGeom>
                    <a:noFill/>
                  </pic:spPr>
                </pic:pic>
              </a:graphicData>
            </a:graphic>
          </wp:anchor>
        </w:drawing>
      </w:r>
    </w:p>
    <w:p>
      <w:pPr>
        <w:spacing w:after="0" w:line="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1137285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180"/>
      </w:cols>
      <w:pgMar w:left="480" w:top="144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37352" TargetMode="External"/><Relationship Id="rId11" Type="http://schemas.openxmlformats.org/officeDocument/2006/relationships/hyperlink" Target="http://www.sec.gov/cgi-bin/browse-edgar?action=getcompany&amp;CIK=000211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2026-07-01T19:46:25Z</dcterms:created>
  <dcterms:modified xsi:type="dcterms:W3CDTF">2026-07-01T19:46:25Z</dcterms:modified>
</cp:coreProperties>
</file>